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Bdr>
          <w:top w:color="auto" w:space="0" w:sz="0" w:val="none"/>
          <w:bottom w:color="auto" w:space="0" w:sz="0" w:val="none"/>
          <w:right w:color="auto" w:space="0" w:sz="0" w:val="none"/>
          <w:between w:color="auto" w:space="0" w:sz="0" w:val="none"/>
        </w:pBdr>
        <w:spacing w:after="160" w:before="0" w:line="312.00000000000006" w:lineRule="auto"/>
        <w:rPr>
          <w:rFonts w:ascii="Arial" w:cs="Arial" w:eastAsia="Arial" w:hAnsi="Arial"/>
          <w:color w:val="000000"/>
          <w:sz w:val="20"/>
          <w:szCs w:val="20"/>
        </w:rPr>
      </w:pPr>
      <w:bookmarkStart w:colFirst="0" w:colLast="0" w:name="_g3cnyqfszssq" w:id="0"/>
      <w:bookmarkEnd w:id="0"/>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bottom w:color="auto" w:space="0" w:sz="0" w:val="none"/>
          <w:right w:color="auto" w:space="0" w:sz="0" w:val="none"/>
          <w:between w:color="auto" w:space="0" w:sz="0" w:val="none"/>
        </w:pBdr>
        <w:spacing w:after="160" w:before="0" w:line="312.00000000000006" w:lineRule="auto"/>
        <w:jc w:val="center"/>
        <w:rPr>
          <w:rFonts w:ascii="Arial" w:cs="Arial" w:eastAsia="Arial" w:hAnsi="Arial"/>
          <w:color w:val="000000"/>
          <w:sz w:val="20"/>
          <w:szCs w:val="20"/>
        </w:rPr>
      </w:pPr>
      <w:bookmarkStart w:colFirst="0" w:colLast="0" w:name="_ik0gu58xpkaf" w:id="1"/>
      <w:bookmarkEnd w:id="1"/>
      <w:r w:rsidDel="00000000" w:rsidR="00000000" w:rsidRPr="00000000">
        <w:rPr>
          <w:rFonts w:ascii="Arial" w:cs="Arial" w:eastAsia="Arial" w:hAnsi="Arial"/>
          <w:color w:val="000000"/>
          <w:sz w:val="20"/>
          <w:szCs w:val="20"/>
          <w:rtl w:val="0"/>
        </w:rPr>
        <w:t xml:space="preserve">Complaints Policy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00" w:line="398.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000000" w:rsidDel="00000000" w:rsidP="00000000" w:rsidRDefault="00000000" w:rsidRPr="00000000" w14:paraId="00000004">
      <w:pPr>
        <w:pStyle w:val="Heading3"/>
        <w:keepNext w:val="0"/>
        <w:keepLines w:val="0"/>
        <w:pBdr>
          <w:top w:color="auto" w:space="0" w:sz="0" w:val="none"/>
          <w:bottom w:color="auto" w:space="0" w:sz="0" w:val="none"/>
          <w:right w:color="auto" w:space="0" w:sz="0" w:val="none"/>
          <w:between w:color="auto" w:space="0" w:sz="0" w:val="none"/>
        </w:pBdr>
        <w:spacing w:after="160" w:before="0" w:line="312.00000000000006" w:lineRule="auto"/>
        <w:rPr>
          <w:rFonts w:ascii="Arial" w:cs="Arial" w:eastAsia="Arial" w:hAnsi="Arial"/>
          <w:color w:val="000000"/>
          <w:sz w:val="20"/>
          <w:szCs w:val="20"/>
        </w:rPr>
      </w:pPr>
      <w:bookmarkStart w:colFirst="0" w:colLast="0" w:name="_nmhiycbfl2tl" w:id="2"/>
      <w:bookmarkEnd w:id="2"/>
      <w:r w:rsidDel="00000000" w:rsidR="00000000" w:rsidRPr="00000000">
        <w:rPr>
          <w:rFonts w:ascii="Arial" w:cs="Arial" w:eastAsia="Arial" w:hAnsi="Arial"/>
          <w:color w:val="000000"/>
          <w:sz w:val="20"/>
          <w:szCs w:val="20"/>
          <w:rtl w:val="0"/>
        </w:rPr>
        <w:t xml:space="preserve">Procedures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00" w:line="398.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settings are required to keep a written record (‘summary log’) of any complaints that reach stage 2 and above and their outcome. This is to be made available to parents as well as to Ofsted inspectors on request. A full procedure is set out in the Pre-school Learning Alliance publication </w:t>
      </w:r>
      <w:r w:rsidDel="00000000" w:rsidR="00000000" w:rsidRPr="00000000">
        <w:rPr>
          <w:rFonts w:ascii="Arial" w:cs="Arial" w:eastAsia="Arial" w:hAnsi="Arial"/>
          <w:i w:val="1"/>
          <w:sz w:val="20"/>
          <w:szCs w:val="20"/>
          <w:rtl w:val="0"/>
        </w:rPr>
        <w:t xml:space="preserve">Complaint Investigation Record</w:t>
      </w:r>
      <w:r w:rsidDel="00000000" w:rsidR="00000000" w:rsidRPr="00000000">
        <w:rPr>
          <w:rFonts w:ascii="Arial" w:cs="Arial" w:eastAsia="Arial" w:hAnsi="Arial"/>
          <w:sz w:val="20"/>
          <w:szCs w:val="20"/>
          <w:rtl w:val="0"/>
        </w:rPr>
        <w:t xml:space="preserve"> which acts as the ‘summary log’ for this purpose.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Making a complaint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1</w:t>
      </w:r>
    </w:p>
    <w:p w:rsidR="00000000" w:rsidDel="00000000" w:rsidP="00000000" w:rsidRDefault="00000000" w:rsidRPr="00000000" w14:paraId="00000008">
      <w:pPr>
        <w:numPr>
          <w:ilvl w:val="0"/>
          <w:numId w:val="7"/>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Any parent who has a concern about an aspect of the setting’s provision talks over, first of all, his/her concerns with the setting leader.</w:t>
      </w:r>
    </w:p>
    <w:p w:rsidR="00000000" w:rsidDel="00000000" w:rsidP="00000000" w:rsidRDefault="00000000" w:rsidRPr="00000000" w14:paraId="00000009">
      <w:pPr>
        <w:numPr>
          <w:ilvl w:val="0"/>
          <w:numId w:val="7"/>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Most complaints should be resolved amicably and informally at this stage.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2</w:t>
      </w:r>
    </w:p>
    <w:p w:rsidR="00000000" w:rsidDel="00000000" w:rsidP="00000000" w:rsidRDefault="00000000" w:rsidRPr="00000000" w14:paraId="0000000B">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this does not have a satisfactory outcome, or if the problem recurs, the parent moves to this stage of the procedure by putting the concerns or complaint in writing to the setting leader and the owner or chair of the management committee.</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For parents who are not comfortable with making written complaints, there is a template form for recording complaints in the above-mentioned publication; the form may be completed with the person in charge and signed by the parent.</w:t>
      </w:r>
    </w:p>
    <w:p w:rsidR="00000000" w:rsidDel="00000000" w:rsidP="00000000" w:rsidRDefault="00000000" w:rsidRPr="00000000" w14:paraId="0000000D">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000000" w:rsidDel="00000000" w:rsidP="00000000" w:rsidRDefault="00000000" w:rsidRPr="00000000" w14:paraId="0000000E">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When the investigation into the complaint is completed, the setting leader or manager meets with the parent to discuss the outcome.</w:t>
      </w:r>
    </w:p>
    <w:p w:rsidR="00000000" w:rsidDel="00000000" w:rsidP="00000000" w:rsidRDefault="00000000" w:rsidRPr="00000000" w14:paraId="0000000F">
      <w:pPr>
        <w:numPr>
          <w:ilvl w:val="0"/>
          <w:numId w:val="5"/>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Parents must be informed of the outcome of the investigation within 28 days of making the complaint.</w:t>
      </w:r>
    </w:p>
    <w:p w:rsidR="00000000" w:rsidDel="00000000" w:rsidP="00000000" w:rsidRDefault="00000000" w:rsidRPr="00000000" w14:paraId="00000010">
      <w:pPr>
        <w:numPr>
          <w:ilvl w:val="0"/>
          <w:numId w:val="5"/>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When the complaint is resolved at this stage, the summative points are logged in the Complaints Summary Record.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3</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owner/senior manager, present.</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 agreed written record of the discussion is made as well as any decision or action to take as a result. All of the parties present at the meeting sign the record and receive a copy of it.</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This signed record signifies that the procedure has concluded. When the complaint is resolved at this stage, the summative points are logged in the Complaints Summary Record.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4</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Staff or volunteers within the Pre-school Learning Alliance are appropriate persons to be invited to act as mediators.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mediator keeps all discussions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5</w:t>
      </w:r>
    </w:p>
    <w:p w:rsidR="00000000" w:rsidDel="00000000" w:rsidP="00000000" w:rsidRDefault="00000000" w:rsidRPr="00000000" w14:paraId="0000001A">
      <w:pPr>
        <w:numPr>
          <w:ilvl w:val="0"/>
          <w:numId w:val="6"/>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000000" w:rsidDel="00000000" w:rsidP="00000000" w:rsidRDefault="00000000" w:rsidRPr="00000000" w14:paraId="0000001B">
      <w:pPr>
        <w:numPr>
          <w:ilvl w:val="0"/>
          <w:numId w:val="6"/>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record of this meeting, including the decision on the action to be taken, is made. Everyone present at the meeting signs the record and receives a copy of it. This signed record signifies that the procedure has concluded.</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before="0" w:line="398.4"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role of the Office for Standards in Education, Children’s Services and Skills (Ofsted) and the Local Safeguarding Children Board</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number to call Ofsted with regard to a complaint is: 0300 123 1231</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These details are displayed in our setting’s reception notice board.</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 child appears to be at risk, our setting follows the procedures of the Local Safeguarding Children Board in our local authority.</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 these cases, both the parent and setting are informed and the setting leader works with Ofsted or the Local Safeguarding Children Board to ensure a proper investigation of the complaint, followed by appropriate action.</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Records</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record of complaints against our setting and/or the children and/or the adults working in our setting is kept, including the date, the circumstances of the complaint and how the complaint was managed.</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283.46456692913375"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outcome of all complaints is recorded in the </w:t>
      </w:r>
      <w:r w:rsidDel="00000000" w:rsidR="00000000" w:rsidRPr="00000000">
        <w:rPr>
          <w:rFonts w:ascii="Arial" w:cs="Arial" w:eastAsia="Arial" w:hAnsi="Arial"/>
          <w:i w:val="1"/>
          <w:sz w:val="20"/>
          <w:szCs w:val="20"/>
          <w:rtl w:val="0"/>
        </w:rPr>
        <w:t xml:space="preserve">Complaint Investigation Record</w:t>
      </w:r>
      <w:r w:rsidDel="00000000" w:rsidR="00000000" w:rsidRPr="00000000">
        <w:rPr>
          <w:rFonts w:ascii="Arial" w:cs="Arial" w:eastAsia="Arial" w:hAnsi="Arial"/>
          <w:sz w:val="20"/>
          <w:szCs w:val="20"/>
          <w:rtl w:val="0"/>
        </w:rPr>
        <w:t xml:space="preserve"> which is available for parents and Ofsted inspectors on request.</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620" w:line="276" w:lineRule="auto"/>
        <w:ind w:left="283.46456692913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These records are then kept for three years.</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62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Last reviewed: </w:t>
      </w:r>
      <w:r w:rsidDel="00000000" w:rsidR="00000000" w:rsidRPr="00000000">
        <w:rPr>
          <w:rFonts w:ascii="Arial" w:cs="Arial" w:eastAsia="Arial" w:hAnsi="Arial"/>
          <w:sz w:val="20"/>
          <w:szCs w:val="20"/>
          <w:rtl w:val="0"/>
        </w:rPr>
        <w:t xml:space="preserve">August</w:t>
      </w:r>
      <w:r w:rsidDel="00000000" w:rsidR="00000000" w:rsidRPr="00000000">
        <w:rPr>
          <w:rFonts w:ascii="Arial" w:cs="Arial" w:eastAsia="Arial" w:hAnsi="Arial"/>
          <w:sz w:val="20"/>
          <w:szCs w:val="20"/>
          <w:rtl w:val="0"/>
        </w:rPr>
        <w:t xml:space="preserve"> 2019</w:t>
        <w:br w:type="textWrapping"/>
      </w:r>
      <w:r w:rsidDel="00000000" w:rsidR="00000000" w:rsidRPr="00000000">
        <w:rPr>
          <w:rFonts w:ascii="Arial" w:cs="Arial" w:eastAsia="Arial" w:hAnsi="Arial"/>
          <w:b w:val="1"/>
          <w:sz w:val="20"/>
          <w:szCs w:val="20"/>
          <w:rtl w:val="0"/>
        </w:rPr>
        <w:t xml:space="preserve">Date of next review:</w:t>
      </w:r>
      <w:r w:rsidDel="00000000" w:rsidR="00000000" w:rsidRPr="00000000">
        <w:rPr>
          <w:rFonts w:ascii="Arial" w:cs="Arial" w:eastAsia="Arial" w:hAnsi="Arial"/>
          <w:sz w:val="20"/>
          <w:szCs w:val="20"/>
          <w:rtl w:val="0"/>
        </w:rPr>
        <w:t xml:space="preserve"> August 2020</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r w:rsidDel="00000000" w:rsidR="00000000" w:rsidRPr="00000000">
        <w:rPr>
          <w:rtl w:val="0"/>
        </w:rPr>
      </w:r>
    </w:p>
    <w:sectPr>
      <w:headerReference r:id="rId6" w:type="default"/>
      <w:headerReference r:id="rId7" w:type="first"/>
      <w:footerReference r:id="rId8" w:type="first"/>
      <w:pgSz w:h="15840" w:w="12240"/>
      <w:pgMar w:bottom="720" w:top="720" w:left="162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680"/>
        <w:tab w:val="right" w:pos="9360"/>
      </w:tabs>
      <w:spacing w:after="800" w:before="720" w:line="300" w:lineRule="auto"/>
      <w:ind w:right="-720"/>
      <w:jc w:val="right"/>
      <w:rPr/>
    </w:pPr>
    <w:r w:rsidDel="00000000" w:rsidR="00000000" w:rsidRPr="00000000">
      <w:rPr>
        <w:rFonts w:ascii="Cambria" w:cs="Cambria" w:eastAsia="Cambria" w:hAnsi="Cambria"/>
        <w:b w:val="0"/>
        <w:sz w:val="18"/>
        <w:szCs w:val="18"/>
        <w:rtl w:val="0"/>
      </w:rPr>
      <w:t xml:space="preserve">Page </w:t>
    </w:r>
    <w:r w:rsidDel="00000000" w:rsidR="00000000" w:rsidRPr="00000000">
      <w:rPr>
        <w:rFonts w:ascii="Cambria" w:cs="Cambria" w:eastAsia="Cambria" w:hAnsi="Cambria"/>
        <w:b w:val="0"/>
        <w:sz w:val="18"/>
        <w:szCs w:val="1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before="120" w:line="240" w:lineRule="auto"/>
      <w:ind w:right="-720"/>
      <w:jc w:val="righ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381000</wp:posOffset>
          </wp:positionV>
          <wp:extent cx="1452563" cy="110301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58" l="0" r="0" t="58"/>
                  <a:stretch>
                    <a:fillRect/>
                  </a:stretch>
                </pic:blipFill>
                <pic:spPr>
                  <a:xfrm>
                    <a:off x="0" y="0"/>
                    <a:ext cx="1452563" cy="110301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276225</wp:posOffset>
          </wp:positionV>
          <wp:extent cx="1682585" cy="13096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80163" l="60196" r="0" t="-454"/>
                  <a:stretch>
                    <a:fillRect/>
                  </a:stretch>
                </pic:blipFill>
                <pic:spPr>
                  <a:xfrm>
                    <a:off x="0" y="0"/>
                    <a:ext cx="1682585" cy="130968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before="120" w:line="240" w:lineRule="auto"/>
      <w:ind w:right="-720"/>
      <w:jc w:val="right"/>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before="120" w:line="240" w:lineRule="auto"/>
      <w:ind w:right="-720"/>
      <w:jc w:val="right"/>
      <w:rPr>
        <w:b w:val="1"/>
        <w:sz w:val="18"/>
        <w:szCs w:val="18"/>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rtl w:val="0"/>
      </w:rPr>
      <w:t xml:space="preserve">estland</w:t>
    </w:r>
    <w:r w:rsidDel="00000000" w:rsidR="00000000" w:rsidRPr="00000000">
      <w:rPr>
        <w:rFonts w:ascii="Calibri" w:cs="Calibri" w:eastAsia="Calibri" w:hAnsi="Calibri"/>
        <w:rtl w:val="0"/>
      </w:rPr>
      <w:t xml:space="preserve">s, Green Lane </w:t>
    </w:r>
    <w:r w:rsidDel="00000000" w:rsidR="00000000" w:rsidRPr="00000000">
      <w:rPr>
        <w:rFonts w:ascii="Calibri" w:cs="Calibri" w:eastAsia="Calibri" w:hAnsi="Calibri"/>
        <w:b w:val="0"/>
        <w:rtl w:val="0"/>
      </w:rPr>
      <w:t xml:space="preserve">● Southampton, Hampshire</w:t>
      <w:br w:type="textWrapping"/>
      <w:t xml:space="preserve">Phone: </w:t>
    </w:r>
    <w:r w:rsidDel="00000000" w:rsidR="00000000" w:rsidRPr="00000000">
      <w:rPr>
        <w:rFonts w:ascii="Calibri" w:cs="Calibri" w:eastAsia="Calibri" w:hAnsi="Calibri"/>
        <w:rtl w:val="0"/>
      </w:rPr>
      <w:t xml:space="preserve">023 8202 6700 </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rtl w:val="0"/>
      </w:rPr>
      <w:t xml:space="preserve">contactus@testlands.com</w:t>
    </w:r>
    <w:r w:rsidDel="00000000" w:rsidR="00000000" w:rsidRPr="00000000">
      <w:rPr>
        <w:rFonts w:ascii="Calibri" w:cs="Calibri" w:eastAsia="Calibri" w:hAnsi="Calibri"/>
        <w:b w:val="0"/>
        <w:rtl w:val="0"/>
      </w:rPr>
      <w:br w:type="textWrapping"/>
      <w:t xml:space="preserve">Web: </w:t>
    </w:r>
    <w:hyperlink r:id="rId3">
      <w:r w:rsidDel="00000000" w:rsidR="00000000" w:rsidRPr="00000000">
        <w:rPr>
          <w:rFonts w:ascii="Calibri" w:cs="Calibri" w:eastAsia="Calibri" w:hAnsi="Calibri"/>
          <w:b w:val="0"/>
          <w:rtl w:val="0"/>
        </w:rPr>
        <w:t xml:space="preserve">www.testlands</w:t>
      </w:r>
    </w:hyperlink>
    <w:hyperlink r:id="rId4">
      <w:r w:rsidDel="00000000" w:rsidR="00000000" w:rsidRPr="00000000">
        <w:rPr>
          <w:rFonts w:ascii="Calibri" w:cs="Calibri" w:eastAsia="Calibri" w:hAnsi="Calibri"/>
          <w:rtl w:val="0"/>
        </w:rPr>
        <w:t xml:space="preserve">.com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0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3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300" w:lineRule="auto"/>
    </w:pPr>
    <w:rPr>
      <w:rFonts w:ascii="Calibri" w:cs="Calibri" w:eastAsia="Calibri" w:hAnsi="Calibri"/>
      <w:b w:val="1"/>
      <w:color w:val="4f81bd"/>
      <w:sz w:val="22"/>
      <w:szCs w:val="22"/>
    </w:rPr>
  </w:style>
  <w:style w:type="paragraph" w:styleId="Heading4">
    <w:name w:val="heading 4"/>
    <w:basedOn w:val="Normal"/>
    <w:next w:val="Normal"/>
    <w:pPr>
      <w:keepNext w:val="1"/>
      <w:keepLines w:val="1"/>
      <w:spacing w:after="0" w:before="200" w:line="300" w:lineRule="auto"/>
    </w:pPr>
    <w:rPr>
      <w:rFonts w:ascii="Calibri" w:cs="Calibri" w:eastAsia="Calibri" w:hAnsi="Calibri"/>
      <w:b w:val="1"/>
      <w:i w:val="1"/>
      <w:color w:val="4f81bd"/>
      <w:sz w:val="22"/>
      <w:szCs w:val="22"/>
    </w:rPr>
  </w:style>
  <w:style w:type="paragraph" w:styleId="Heading5">
    <w:name w:val="heading 5"/>
    <w:basedOn w:val="Normal"/>
    <w:next w:val="Normal"/>
    <w:pPr>
      <w:keepNext w:val="1"/>
      <w:keepLines w:val="1"/>
      <w:spacing w:after="0" w:before="200" w:line="300" w:lineRule="auto"/>
    </w:pPr>
    <w:rPr>
      <w:rFonts w:ascii="Calibri" w:cs="Calibri" w:eastAsia="Calibri" w:hAnsi="Calibri"/>
      <w:b w:val="0"/>
      <w:color w:val="243f61"/>
      <w:sz w:val="22"/>
      <w:szCs w:val="22"/>
    </w:rPr>
  </w:style>
  <w:style w:type="paragraph" w:styleId="Heading6">
    <w:name w:val="heading 6"/>
    <w:basedOn w:val="Normal"/>
    <w:next w:val="Normal"/>
    <w:pPr>
      <w:keepNext w:val="1"/>
      <w:keepLines w:val="1"/>
      <w:spacing w:after="0" w:before="200" w:line="300" w:lineRule="auto"/>
    </w:pPr>
    <w:rPr>
      <w:rFonts w:ascii="Calibri" w:cs="Calibri" w:eastAsia="Calibri" w:hAnsi="Calibri"/>
      <w:b w:val="0"/>
      <w:i w:val="1"/>
      <w:color w:val="243f61"/>
      <w:sz w:val="22"/>
      <w:szCs w:val="22"/>
    </w:rPr>
  </w:style>
  <w:style w:type="paragraph" w:styleId="Title">
    <w:name w:val="Title"/>
    <w:basedOn w:val="Normal"/>
    <w:next w:val="Normal"/>
    <w:pPr>
      <w:keepNext w:val="1"/>
      <w:keepLines w:val="1"/>
      <w:spacing w:after="0" w:before="0" w:line="240" w:lineRule="auto"/>
      <w:ind w:right="-720"/>
      <w:jc w:val="right"/>
    </w:pPr>
    <w:rPr>
      <w:rFonts w:ascii="Calibri" w:cs="Calibri" w:eastAsia="Calibri" w:hAnsi="Calibri"/>
      <w:b w:val="1"/>
      <w:color w:val="4f81bd"/>
      <w:sz w:val="32"/>
      <w:szCs w:val="32"/>
    </w:rPr>
  </w:style>
  <w:style w:type="paragraph" w:styleId="Subtitle">
    <w:name w:val="Subtitle"/>
    <w:basedOn w:val="Normal"/>
    <w:next w:val="Normal"/>
    <w:pPr>
      <w:keepNext w:val="1"/>
      <w:keepLines w:val="1"/>
      <w:spacing w:after="0" w:before="0" w:line="30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hyperlink" Target="http://www.testlands.com" TargetMode="External"/><Relationship Id="rId4" Type="http://schemas.openxmlformats.org/officeDocument/2006/relationships/hyperlink" Target="http://www.test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